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360" w:lineRule="auto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2014年申报省级精品资源共享课建设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任务表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申报学校(盖章)：</w:t>
      </w:r>
    </w:p>
    <w:tbl>
      <w:tblPr>
        <w:tblW w:w="14775" w:type="dxa"/>
        <w:jc w:val="center"/>
        <w:tblInd w:w="-1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51"/>
        <w:gridCol w:w="1134"/>
        <w:gridCol w:w="1134"/>
        <w:gridCol w:w="1325"/>
        <w:gridCol w:w="992"/>
        <w:gridCol w:w="3213"/>
        <w:gridCol w:w="3213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1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建设</w:t>
            </w:r>
            <w:r>
              <w:rPr>
                <w:rFonts w:hint="eastAsia" w:hAnsi="宋体" w:cs="宋体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3213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2015年6月</w:t>
            </w:r>
          </w:p>
        </w:tc>
        <w:tc>
          <w:tcPr>
            <w:tcW w:w="3213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2016年6月</w:t>
            </w:r>
          </w:p>
        </w:tc>
        <w:tc>
          <w:tcPr>
            <w:tcW w:w="3213" w:type="dxa"/>
            <w:vAlign w:val="center"/>
          </w:tcPr>
          <w:p>
            <w:pPr>
              <w:widowControl/>
              <w:ind w:left="-106" w:leftChars="-33" w:right="-106" w:rightChars="-33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2017年6月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．拓展资源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．创新资源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．其他</w:t>
            </w:r>
          </w:p>
          <w:p>
            <w:pPr>
              <w:widowControl/>
              <w:rPr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  <w:tc>
          <w:tcPr>
            <w:tcW w:w="3213" w:type="dxa"/>
            <w:vAlign w:val="top"/>
          </w:tcPr>
          <w:p>
            <w:pPr>
              <w:widowControl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kern w:val="0"/>
                <w:sz w:val="21"/>
                <w:szCs w:val="21"/>
              </w:rPr>
              <w:t>．验收要点：</w:t>
            </w:r>
          </w:p>
          <w:p>
            <w:pPr>
              <w:rPr>
                <w:b/>
                <w:kern w:val="0"/>
                <w:sz w:val="21"/>
                <w:szCs w:val="21"/>
              </w:rPr>
            </w:pPr>
          </w:p>
        </w:tc>
      </w:tr>
    </w:tbl>
    <w:p>
      <w:pPr>
        <w:rPr>
          <w:rFonts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注：1.按年度填写课程资源建设内容或任务, 文字表达要明确、简洁，字数控制在100字以内；</w:t>
      </w:r>
    </w:p>
    <w:p>
      <w:pPr>
        <w:ind w:firstLine="480" w:firstLineChars="200"/>
        <w:rPr>
          <w:rFonts w:hint="eastAsia"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2.</w:t>
      </w:r>
      <w:r>
        <w:rPr>
          <w:rFonts w:hAnsi="宋体" w:cs="宋体"/>
          <w:kern w:val="0"/>
          <w:sz w:val="24"/>
          <w:szCs w:val="28"/>
        </w:rPr>
        <w:t>年度建设进度均须明确具体建设内容，</w:t>
      </w:r>
      <w:r>
        <w:rPr>
          <w:rFonts w:hint="eastAsia" w:hAnsi="宋体" w:cs="宋体"/>
          <w:kern w:val="0"/>
          <w:sz w:val="24"/>
          <w:szCs w:val="28"/>
        </w:rPr>
        <w:t>验收要点必须“可观测、可监控”；</w:t>
      </w:r>
    </w:p>
    <w:p>
      <w:pPr>
        <w:ind w:firstLine="480" w:firstLineChars="200"/>
        <w:rPr>
          <w:rFonts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3.基本资源、拓展资源的内容请参考“附件1：国家级精品资源共享课建设技术要求”；</w:t>
      </w:r>
    </w:p>
    <w:p>
      <w:pPr>
        <w:ind w:firstLine="480" w:firstLineChars="200"/>
        <w:rPr>
          <w:rFonts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4.创新资源主要指课程团队开发的原创性课程教学资源；</w:t>
      </w:r>
    </w:p>
    <w:p>
      <w:pPr>
        <w:ind w:firstLine="480" w:firstLineChars="200"/>
        <w:rPr>
          <w:rFonts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5.建设年度分别为：第一年，2014.</w:t>
      </w:r>
      <w:r>
        <w:rPr>
          <w:rFonts w:hint="eastAsia" w:hAnsi="宋体" w:cs="宋体"/>
          <w:kern w:val="0"/>
          <w:sz w:val="24"/>
          <w:szCs w:val="28"/>
          <w:lang w:val="en-US" w:eastAsia="zh-CN"/>
        </w:rPr>
        <w:t>7</w:t>
      </w:r>
      <w:r>
        <w:rPr>
          <w:rFonts w:hint="eastAsia" w:hAnsi="宋体" w:cs="宋体"/>
          <w:kern w:val="0"/>
          <w:sz w:val="24"/>
          <w:szCs w:val="28"/>
        </w:rPr>
        <w:t>-2015.6；第二年，2015.7-2016.6；第三年，2014.6-2017.6；</w:t>
      </w:r>
    </w:p>
    <w:p>
      <w:pPr>
        <w:ind w:firstLine="480" w:firstLineChars="200"/>
        <w:rPr>
          <w:rFonts w:hAnsi="宋体" w:cs="宋体"/>
          <w:kern w:val="0"/>
          <w:sz w:val="24"/>
          <w:szCs w:val="28"/>
        </w:rPr>
      </w:pPr>
      <w:r>
        <w:rPr>
          <w:rFonts w:hint="eastAsia" w:hAnsi="宋体" w:cs="宋体"/>
          <w:kern w:val="0"/>
          <w:sz w:val="24"/>
          <w:szCs w:val="28"/>
        </w:rPr>
        <w:t>6.表中空格不够时，可另续页，但序号要清楚。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95</Words>
  <Characters>542</Characters>
  <Lines>4</Lines>
  <Paragraphs>1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2014-07-09T02:58:00Z</dcterms:created>
  <dc:creator>Windows 用户</dc:creator>
  <cp:lastModifiedBy>admin3</cp:lastModifiedBy>
  <dcterms:modified xsi:type="dcterms:W3CDTF">2014-07-22T02:42:40Z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